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CE1" w:rsidRDefault="00ED474D">
      <w:pPr>
        <w:pStyle w:val="2"/>
        <w:spacing w:before="156" w:after="156"/>
        <w:jc w:val="center"/>
        <w:rPr>
          <w:rFonts w:ascii="楷体" w:eastAsia="楷体" w:hAnsi="楷体" w:cs="楷体"/>
          <w:b/>
          <w:bCs/>
          <w:sz w:val="30"/>
          <w:szCs w:val="30"/>
        </w:rPr>
      </w:pPr>
      <w:r>
        <w:rPr>
          <w:rFonts w:ascii="楷体" w:eastAsia="楷体" w:hAnsi="楷体" w:cs="楷体" w:hint="eastAsia"/>
          <w:b/>
          <w:bCs/>
          <w:sz w:val="30"/>
          <w:szCs w:val="30"/>
        </w:rPr>
        <w:t>功能需求</w:t>
      </w:r>
    </w:p>
    <w:tbl>
      <w:tblPr>
        <w:tblStyle w:val="a6"/>
        <w:tblpPr w:leftFromText="180" w:rightFromText="180" w:vertAnchor="text" w:horzAnchor="page" w:tblpX="781" w:tblpY="295"/>
        <w:tblOverlap w:val="never"/>
        <w:tblW w:w="10567" w:type="dxa"/>
        <w:tblLook w:val="04A0" w:firstRow="1" w:lastRow="0" w:firstColumn="1" w:lastColumn="0" w:noHBand="0" w:noVBand="1"/>
      </w:tblPr>
      <w:tblGrid>
        <w:gridCol w:w="1023"/>
        <w:gridCol w:w="1915"/>
        <w:gridCol w:w="7629"/>
      </w:tblGrid>
      <w:tr w:rsidR="00541CE1">
        <w:trPr>
          <w:trHeight w:val="362"/>
        </w:trPr>
        <w:tc>
          <w:tcPr>
            <w:tcW w:w="1023" w:type="dxa"/>
            <w:vAlign w:val="center"/>
          </w:tcPr>
          <w:p w:rsidR="00541CE1" w:rsidRDefault="00ED474D" w:rsidP="00E7578B">
            <w:pPr>
              <w:pStyle w:val="2TimesNewRoman5020"/>
              <w:framePr w:hSpace="0" w:wrap="auto" w:vAnchor="margin" w:hAnchor="text" w:xAlign="left" w:yAlign="inline"/>
              <w:suppressOverlap w:val="0"/>
            </w:pPr>
            <w:r>
              <w:rPr>
                <w:rFonts w:hint="eastAsia"/>
              </w:rPr>
              <w:t>序号</w:t>
            </w:r>
          </w:p>
        </w:tc>
        <w:tc>
          <w:tcPr>
            <w:tcW w:w="1915" w:type="dxa"/>
            <w:vAlign w:val="center"/>
          </w:tcPr>
          <w:p w:rsidR="00541CE1" w:rsidRDefault="00ED474D" w:rsidP="00E7578B">
            <w:pPr>
              <w:pStyle w:val="2TimesNewRoman5020"/>
              <w:framePr w:hSpace="0" w:wrap="auto" w:vAnchor="margin" w:hAnchor="text" w:xAlign="left" w:yAlign="inline"/>
              <w:suppressOverlap w:val="0"/>
            </w:pPr>
            <w:r>
              <w:rPr>
                <w:rFonts w:hint="eastAsia"/>
              </w:rPr>
              <w:t>名称</w:t>
            </w:r>
          </w:p>
        </w:tc>
        <w:tc>
          <w:tcPr>
            <w:tcW w:w="7629" w:type="dxa"/>
            <w:vAlign w:val="center"/>
          </w:tcPr>
          <w:p w:rsidR="00541CE1" w:rsidRDefault="00ED474D" w:rsidP="00E7578B">
            <w:pPr>
              <w:pStyle w:val="2TimesNewRoman5020"/>
              <w:framePr w:hSpace="0" w:wrap="auto" w:vAnchor="margin" w:hAnchor="text" w:xAlign="left" w:yAlign="inline"/>
              <w:suppressOverlap w:val="0"/>
            </w:pPr>
            <w:r>
              <w:rPr>
                <w:rFonts w:hint="eastAsia"/>
              </w:rPr>
              <w:t>主要功能</w:t>
            </w:r>
          </w:p>
        </w:tc>
      </w:tr>
      <w:tr w:rsidR="00541CE1">
        <w:trPr>
          <w:trHeight w:val="580"/>
        </w:trPr>
        <w:tc>
          <w:tcPr>
            <w:tcW w:w="1023" w:type="dxa"/>
            <w:vAlign w:val="center"/>
          </w:tcPr>
          <w:p w:rsidR="00541CE1" w:rsidRDefault="00ED474D" w:rsidP="00E7578B">
            <w:pPr>
              <w:pStyle w:val="2TimesNewRoman5020"/>
              <w:framePr w:hSpace="0" w:wrap="auto" w:vAnchor="margin" w:hAnchor="text" w:xAlign="left" w:yAlign="inline"/>
              <w:suppressOverlap w:val="0"/>
            </w:pPr>
            <w:r>
              <w:rPr>
                <w:rFonts w:hint="eastAsia"/>
              </w:rPr>
              <w:t>1</w:t>
            </w:r>
          </w:p>
        </w:tc>
        <w:tc>
          <w:tcPr>
            <w:tcW w:w="1915" w:type="dxa"/>
            <w:vAlign w:val="center"/>
          </w:tcPr>
          <w:p w:rsidR="00541CE1" w:rsidRDefault="00ED474D">
            <w:pPr>
              <w:pStyle w:val="a0"/>
              <w:jc w:val="center"/>
              <w:rPr>
                <w:rStyle w:val="10"/>
                <w:rFonts w:ascii="楷体" w:eastAsia="楷体" w:hAnsi="楷体" w:cs="楷体"/>
                <w:b/>
                <w:bCs/>
                <w:sz w:val="20"/>
                <w:szCs w:val="20"/>
              </w:rPr>
            </w:pPr>
            <w:r>
              <w:rPr>
                <w:rStyle w:val="10"/>
                <w:rFonts w:ascii="楷体" w:eastAsia="楷体" w:hAnsi="楷体" w:cs="楷体" w:hint="eastAsia"/>
                <w:b/>
                <w:bCs/>
                <w:sz w:val="20"/>
                <w:szCs w:val="20"/>
              </w:rPr>
              <w:t>微信公众号</w:t>
            </w:r>
          </w:p>
        </w:tc>
        <w:tc>
          <w:tcPr>
            <w:tcW w:w="7629" w:type="dxa"/>
          </w:tcPr>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对接心理援助中心，可在微信上连线心理援助中心进行心理咨询，咨询中支持量表推送测评，定位发送；</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支持在线咨询</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支持在线就医</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支持数字疗法：厌恶疗法模式的瘾戒治疗</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提供上百篇心理健康课程</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支持在线心理自评，自评后自动推送训练；</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支持冥想放松训练；</w:t>
            </w:r>
          </w:p>
          <w:p w:rsidR="00541CE1" w:rsidRDefault="00ED474D">
            <w:pPr>
              <w:numPr>
                <w:ilvl w:val="0"/>
                <w:numId w:val="1"/>
              </w:numPr>
              <w:spacing w:line="360" w:lineRule="auto"/>
            </w:pPr>
            <w:r>
              <w:rPr>
                <w:rFonts w:ascii="楷体" w:eastAsia="楷体" w:hAnsi="楷体" w:cs="楷体" w:hint="eastAsia"/>
                <w:sz w:val="20"/>
                <w:szCs w:val="20"/>
              </w:rPr>
              <w:t>支持音乐放松训练；</w:t>
            </w:r>
          </w:p>
        </w:tc>
      </w:tr>
      <w:tr w:rsidR="00541CE1">
        <w:trPr>
          <w:trHeight w:val="580"/>
        </w:trPr>
        <w:tc>
          <w:tcPr>
            <w:tcW w:w="1023" w:type="dxa"/>
            <w:vAlign w:val="center"/>
          </w:tcPr>
          <w:p w:rsidR="00541CE1" w:rsidRDefault="00541CE1" w:rsidP="00E7578B">
            <w:pPr>
              <w:pStyle w:val="2TimesNewRoman5020"/>
              <w:framePr w:hSpace="0" w:wrap="auto" w:vAnchor="margin" w:hAnchor="text" w:xAlign="left" w:yAlign="inline"/>
              <w:suppressOverlap w:val="0"/>
            </w:pPr>
          </w:p>
        </w:tc>
        <w:tc>
          <w:tcPr>
            <w:tcW w:w="1915" w:type="dxa"/>
            <w:vAlign w:val="center"/>
          </w:tcPr>
          <w:p w:rsidR="00541CE1" w:rsidRDefault="00ED474D">
            <w:pPr>
              <w:pStyle w:val="a0"/>
              <w:jc w:val="center"/>
              <w:rPr>
                <w:rStyle w:val="10"/>
                <w:rFonts w:ascii="楷体" w:eastAsia="楷体" w:hAnsi="楷体" w:cs="楷体"/>
                <w:b/>
                <w:bCs/>
                <w:sz w:val="20"/>
                <w:szCs w:val="20"/>
              </w:rPr>
            </w:pPr>
            <w:r>
              <w:rPr>
                <w:rStyle w:val="10"/>
                <w:rFonts w:ascii="楷体" w:eastAsia="楷体" w:hAnsi="楷体" w:cs="楷体" w:hint="eastAsia"/>
                <w:b/>
                <w:bCs/>
                <w:sz w:val="20"/>
                <w:szCs w:val="20"/>
              </w:rPr>
              <w:t>AI+科普矩阵</w:t>
            </w:r>
          </w:p>
        </w:tc>
        <w:tc>
          <w:tcPr>
            <w:tcW w:w="7629" w:type="dxa"/>
          </w:tcPr>
          <w:p w:rsidR="00541CE1" w:rsidRPr="00ED474D" w:rsidRDefault="00ED474D">
            <w:pPr>
              <w:numPr>
                <w:ilvl w:val="0"/>
                <w:numId w:val="1"/>
              </w:numPr>
              <w:spacing w:line="360" w:lineRule="auto"/>
              <w:rPr>
                <w:rFonts w:ascii="楷体" w:eastAsia="楷体" w:hAnsi="楷体" w:cs="楷体"/>
                <w:color w:val="FF0000"/>
                <w:sz w:val="20"/>
                <w:szCs w:val="20"/>
                <w:lang w:val="zh-TW" w:eastAsia="zh-TW"/>
              </w:rPr>
            </w:pPr>
            <w:r w:rsidRPr="00ED474D">
              <w:rPr>
                <w:rFonts w:ascii="楷体" w:eastAsia="楷体" w:hAnsi="楷体" w:cs="楷体" w:hint="eastAsia"/>
                <w:color w:val="FF0000"/>
                <w:sz w:val="20"/>
                <w:szCs w:val="20"/>
                <w:lang w:val="zh-TW" w:eastAsia="zh-TW"/>
              </w:rPr>
              <w:t>★</w:t>
            </w:r>
            <w:r w:rsidRPr="00ED474D">
              <w:rPr>
                <w:rFonts w:ascii="楷体" w:eastAsia="楷体" w:hAnsi="楷体" w:cs="楷体" w:hint="eastAsia"/>
                <w:color w:val="FF0000"/>
                <w:sz w:val="20"/>
                <w:szCs w:val="20"/>
              </w:rPr>
              <w:t>提供建立在火山引擎架构基础上的AI+健康科普系统（提供技术方案与火山引擎公司授权证明材料）</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提供矩阵管理工具</w:t>
            </w:r>
          </w:p>
        </w:tc>
      </w:tr>
      <w:tr w:rsidR="00541CE1">
        <w:trPr>
          <w:trHeight w:val="580"/>
        </w:trPr>
        <w:tc>
          <w:tcPr>
            <w:tcW w:w="1023" w:type="dxa"/>
            <w:vAlign w:val="center"/>
          </w:tcPr>
          <w:p w:rsidR="00541CE1" w:rsidRDefault="00ED474D" w:rsidP="00E7578B">
            <w:pPr>
              <w:pStyle w:val="2TimesNewRoman5020"/>
              <w:framePr w:hSpace="0" w:wrap="auto" w:vAnchor="margin" w:hAnchor="text" w:xAlign="left" w:yAlign="inline"/>
              <w:suppressOverlap w:val="0"/>
            </w:pPr>
            <w:r>
              <w:rPr>
                <w:rFonts w:hint="eastAsia"/>
              </w:rPr>
              <w:t>2</w:t>
            </w:r>
          </w:p>
        </w:tc>
        <w:tc>
          <w:tcPr>
            <w:tcW w:w="1915" w:type="dxa"/>
            <w:vAlign w:val="center"/>
          </w:tcPr>
          <w:p w:rsidR="00541CE1" w:rsidRDefault="00ED474D" w:rsidP="00E7578B">
            <w:pPr>
              <w:pStyle w:val="2TimesNewRoman5020"/>
              <w:framePr w:hSpace="0" w:wrap="auto" w:vAnchor="margin" w:hAnchor="text" w:xAlign="left" w:yAlign="inline"/>
              <w:suppressOverlap w:val="0"/>
              <w:rPr>
                <w:rStyle w:val="10"/>
                <w:rFonts w:ascii="楷体" w:hAnsi="楷体"/>
                <w:b w:val="0"/>
                <w:bCs w:val="0"/>
                <w:sz w:val="20"/>
                <w:szCs w:val="20"/>
              </w:rPr>
            </w:pPr>
            <w:r>
              <w:rPr>
                <w:rStyle w:val="10"/>
                <w:rFonts w:ascii="楷体" w:hAnsi="楷体" w:hint="eastAsia"/>
                <w:sz w:val="20"/>
                <w:szCs w:val="20"/>
              </w:rPr>
              <w:t>心理</w:t>
            </w:r>
          </w:p>
          <w:p w:rsidR="00541CE1" w:rsidRDefault="00ED474D">
            <w:pPr>
              <w:pStyle w:val="a0"/>
              <w:jc w:val="center"/>
              <w:rPr>
                <w:rStyle w:val="10"/>
                <w:rFonts w:ascii="楷体" w:eastAsia="楷体" w:hAnsi="楷体" w:cs="楷体"/>
                <w:b/>
                <w:bCs/>
                <w:sz w:val="20"/>
                <w:szCs w:val="20"/>
              </w:rPr>
            </w:pPr>
            <w:r>
              <w:rPr>
                <w:rStyle w:val="10"/>
                <w:rFonts w:ascii="楷体" w:eastAsia="楷体" w:hAnsi="楷体" w:cs="楷体" w:hint="eastAsia"/>
                <w:b/>
                <w:bCs/>
                <w:sz w:val="20"/>
                <w:szCs w:val="20"/>
              </w:rPr>
              <w:t>援助系统</w:t>
            </w:r>
          </w:p>
        </w:tc>
        <w:tc>
          <w:tcPr>
            <w:tcW w:w="7629" w:type="dxa"/>
          </w:tcPr>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实现接线医生的“声音克隆”</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桌面版系统采用B/S架构，无需软件安装，通过电脑浏览器即可使用</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具备区县分中心功能，各分中心只需分配账号即可使用系统，不需要安装任何硬件服务器。</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中心可对所有分中心实现统一管理，如：排班调度、工作量统计。</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同一软件面板可以同时处理电话咨询和微信公众号在线咨询</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在线咨询支持推送评估量表及并在完成量表自评，来访人员以及咨询师都能实时查看评估结果；</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在线咨询（使用微信公众号直接咨询）支持文字、图片、音频、视频、定位；</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在线咨询支持知识库、常用语等快捷回复的编辑与使用；</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热线支持座机和手机同时工作的模式，该模式当来电进入时，会将来电自动分配到在线空闲的座机或者处于该时段的值班人员的手机中，可以同时工作，互不影响；</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lastRenderedPageBreak/>
              <w:t>支持来电时，系统自动展示既往来电记录，包含(来电次数、每次来电的时间、通话时长、接听人员);</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在线咨询支持挂断后，支持重新主动发起咨询；</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电话咨询支持黑名单、重复来电标注功能；</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电话咨询自动识别来电归属地功能；</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电话咨询支持咨询内容备注及来电记录报告填写；</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电话咨询支持自动示闲、延迟示闲功能；</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电话咨询支持通话录音功能，系统支持声纹录音播放器回听录音；</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电话咨询支持转接、拉黑、挂断管理功能；</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支持咨询记录及咨询报告填写功能；</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支持查询来访者所有咨询历史记录；</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支持与政法系统对接，并上报危机事件</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支持日历排班，按照排班表自动接通值班电话；</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可通过是否接通、咨询来源、重复来电、完善报告、回访、解决情况、高危情况、呼入方式、有效电话、评价、咨询类别进行查找；</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支持数据导出功能；</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提供个人绩效报表，包含平均接起时间、平均通话时长、通话数量、在线咨询数量、满意度评分等多项指标；</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工作统计可查看多人的绩效对比，支持时间范围、咨询员筛选功能；</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危机分析，可对每个月查询危机的类型及联动的情况；</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风险预警针对风险的人口学条件分析；</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服务总览针对区县下的基层筛查数据的统计；</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针对热线及在线咨询的工作登记表统计提供导出功能；</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工作报表对每月、每天的来电、来电地区、特殊情况（高危、重复来电）、问题类型进行统计；</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手机版系统支持iOS与Android系统。</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手机版支持处理电话咨询和微信公众号在线咨询；</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手机版支持在线咨询（使用微信公众号直接咨询）支持文字、图片、音频、视频、定位；</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lastRenderedPageBreak/>
              <w:t>在线咨询支持知识库、常用语等快捷回复的使用；</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电话咨询支持自动示闲、延迟示闲功能；</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支持转接、挂断等通话管理功能；</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自动展示既往来电记录，包含(来电次数、每次来电的时间、通话时长、接听人员);</w:t>
            </w:r>
          </w:p>
          <w:p w:rsidR="00541CE1" w:rsidRDefault="00ED474D">
            <w:pPr>
              <w:numPr>
                <w:ilvl w:val="0"/>
                <w:numId w:val="1"/>
              </w:numPr>
              <w:spacing w:line="360" w:lineRule="auto"/>
              <w:rPr>
                <w:rFonts w:ascii="楷体" w:eastAsia="楷体" w:hAnsi="楷体" w:cs="楷体"/>
                <w:sz w:val="20"/>
                <w:szCs w:val="20"/>
                <w:lang w:val="zh-TW" w:eastAsia="zh-TW"/>
              </w:rPr>
            </w:pPr>
            <w:r>
              <w:rPr>
                <w:rFonts w:ascii="楷体" w:eastAsia="楷体" w:hAnsi="楷体" w:cs="楷体" w:hint="eastAsia"/>
                <w:sz w:val="20"/>
                <w:szCs w:val="20"/>
              </w:rPr>
              <w:t>支持咨询内容备注及咨询记录报告填写；</w:t>
            </w:r>
          </w:p>
        </w:tc>
      </w:tr>
      <w:tr w:rsidR="00541CE1">
        <w:trPr>
          <w:trHeight w:val="90"/>
        </w:trPr>
        <w:tc>
          <w:tcPr>
            <w:tcW w:w="1023" w:type="dxa"/>
            <w:vAlign w:val="center"/>
          </w:tcPr>
          <w:p w:rsidR="00541CE1" w:rsidRDefault="00ED474D" w:rsidP="00E7578B">
            <w:pPr>
              <w:pStyle w:val="2TimesNewRoman5020"/>
              <w:framePr w:hSpace="0" w:wrap="auto" w:vAnchor="margin" w:hAnchor="text" w:xAlign="left" w:yAlign="inline"/>
              <w:suppressOverlap w:val="0"/>
            </w:pPr>
            <w:r>
              <w:rPr>
                <w:rFonts w:hint="eastAsia"/>
              </w:rPr>
              <w:lastRenderedPageBreak/>
              <w:t>3</w:t>
            </w:r>
          </w:p>
        </w:tc>
        <w:tc>
          <w:tcPr>
            <w:tcW w:w="1915" w:type="dxa"/>
            <w:vAlign w:val="center"/>
          </w:tcPr>
          <w:p w:rsidR="00541CE1" w:rsidRDefault="00ED474D">
            <w:pPr>
              <w:spacing w:line="360" w:lineRule="auto"/>
              <w:jc w:val="center"/>
              <w:rPr>
                <w:rFonts w:ascii="楷体" w:eastAsia="楷体" w:hAnsi="楷体" w:cs="楷体"/>
                <w:sz w:val="20"/>
                <w:szCs w:val="20"/>
              </w:rPr>
            </w:pPr>
            <w:r>
              <w:rPr>
                <w:rStyle w:val="10"/>
                <w:rFonts w:ascii="楷体" w:eastAsia="楷体" w:hAnsi="楷体" w:cs="楷体" w:hint="eastAsia"/>
                <w:b/>
                <w:bCs/>
                <w:sz w:val="20"/>
                <w:szCs w:val="20"/>
              </w:rPr>
              <w:t>心理网格系统</w:t>
            </w:r>
          </w:p>
        </w:tc>
        <w:tc>
          <w:tcPr>
            <w:tcW w:w="7629" w:type="dxa"/>
          </w:tcPr>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心理网格系统支持：市级心理网格中心、区县心理网格工作站、街道乡镇心理网格工作站、心理网格员4级体系；</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支持动态分级创建区县级心理网格工作站（区县卫健局、疾控），街道乡镇心理网格工作站（乡镇卫生院、社区卫生服务中心），并且能在创建的网格站中创建隶属该站的心理网格员；</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市级心理网格管理中心能创建筛查任务，并将任务分发给指定的网格工作站，网格工作站能将任务再下发给指定的心理网格员；</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心理网格员APP具备 APP和微信小程序两种形式，可执行上级下发的走访筛查任务、建立心理档案；</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支持筛查方案自定义管理创建、修改；</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支持查看转诊转介信息；</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支持手动添加居民信息到任务中；</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支持以Excel文件格式自动导入受访者信息到任务中，系统能自动识别任意表格模板；</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支持根据走访结果自动创建个人心理画像</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支持心理网格员APP一键连接心理援助系统发送定位、图片、文字；</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支持心理网格员APP网格员一键连接心理援助系统进行视频通话；</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支持各级工作站一键连接心理援助系统，发送图片、文字、视频；支持进行视频通话；</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支持工作站对来访受试者进行咨询建档，管理咨询记录；</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支持心理网格员APP一键推送方案或量表给其维护的受试者；</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支持走访测评时根据需要展示知情同意书；</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支持心理网格员APP一键展示测评二维码，受试者可直接扫码进行测评；</w:t>
            </w:r>
          </w:p>
        </w:tc>
      </w:tr>
      <w:tr w:rsidR="00541CE1">
        <w:trPr>
          <w:trHeight w:val="6229"/>
        </w:trPr>
        <w:tc>
          <w:tcPr>
            <w:tcW w:w="1023" w:type="dxa"/>
            <w:vAlign w:val="center"/>
          </w:tcPr>
          <w:p w:rsidR="00541CE1" w:rsidRDefault="00ED474D" w:rsidP="00E7578B">
            <w:pPr>
              <w:pStyle w:val="2TimesNewRoman5020"/>
              <w:framePr w:hSpace="0" w:wrap="auto" w:vAnchor="margin" w:hAnchor="text" w:xAlign="left" w:yAlign="inline"/>
              <w:suppressOverlap w:val="0"/>
              <w:rPr>
                <w:rStyle w:val="10"/>
                <w:rFonts w:ascii="楷体" w:hAnsi="楷体"/>
                <w:b w:val="0"/>
                <w:bCs w:val="0"/>
                <w:sz w:val="20"/>
                <w:szCs w:val="20"/>
              </w:rPr>
            </w:pPr>
            <w:r>
              <w:rPr>
                <w:rStyle w:val="10"/>
                <w:rFonts w:ascii="楷体" w:hAnsi="楷体" w:hint="eastAsia"/>
                <w:sz w:val="20"/>
                <w:szCs w:val="20"/>
              </w:rPr>
              <w:lastRenderedPageBreak/>
              <w:t>4</w:t>
            </w:r>
          </w:p>
          <w:p w:rsidR="00541CE1" w:rsidRDefault="00541CE1" w:rsidP="00E7578B">
            <w:pPr>
              <w:pStyle w:val="2TimesNewRoman5020"/>
              <w:framePr w:hSpace="0" w:wrap="auto" w:vAnchor="margin" w:hAnchor="text" w:xAlign="left" w:yAlign="inline"/>
              <w:suppressOverlap w:val="0"/>
              <w:rPr>
                <w:rStyle w:val="10"/>
                <w:rFonts w:ascii="楷体" w:hAnsi="楷体"/>
                <w:sz w:val="20"/>
                <w:szCs w:val="20"/>
              </w:rPr>
            </w:pPr>
          </w:p>
        </w:tc>
        <w:tc>
          <w:tcPr>
            <w:tcW w:w="1915" w:type="dxa"/>
            <w:vAlign w:val="center"/>
          </w:tcPr>
          <w:p w:rsidR="00541CE1" w:rsidRDefault="00ED474D" w:rsidP="00E7578B">
            <w:pPr>
              <w:pStyle w:val="2TimesNewRoman5020"/>
              <w:framePr w:hSpace="0" w:wrap="auto" w:vAnchor="margin" w:hAnchor="text" w:xAlign="left" w:yAlign="inline"/>
              <w:suppressOverlap w:val="0"/>
              <w:rPr>
                <w:rStyle w:val="10"/>
                <w:rFonts w:ascii="楷体" w:hAnsi="楷体"/>
                <w:b w:val="0"/>
                <w:bCs w:val="0"/>
                <w:sz w:val="20"/>
                <w:szCs w:val="20"/>
              </w:rPr>
            </w:pPr>
            <w:r>
              <w:rPr>
                <w:rStyle w:val="10"/>
                <w:rFonts w:ascii="楷体" w:hAnsi="楷体" w:hint="eastAsia"/>
                <w:sz w:val="20"/>
                <w:szCs w:val="20"/>
              </w:rPr>
              <w:t>团体体检</w:t>
            </w:r>
          </w:p>
          <w:p w:rsidR="00541CE1" w:rsidRDefault="00ED474D" w:rsidP="00E7578B">
            <w:pPr>
              <w:pStyle w:val="2TimesNewRoman5020"/>
              <w:framePr w:hSpace="0" w:wrap="auto" w:vAnchor="margin" w:hAnchor="text" w:xAlign="left" w:yAlign="inline"/>
              <w:suppressOverlap w:val="0"/>
            </w:pPr>
            <w:r>
              <w:rPr>
                <w:rStyle w:val="10"/>
                <w:rFonts w:ascii="楷体" w:hAnsi="楷体" w:hint="eastAsia"/>
                <w:sz w:val="20"/>
                <w:szCs w:val="20"/>
              </w:rPr>
              <w:t>系统</w:t>
            </w:r>
          </w:p>
        </w:tc>
        <w:tc>
          <w:tcPr>
            <w:tcW w:w="7629" w:type="dxa"/>
          </w:tcPr>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支持自动产生个人心理画像报告，心理画像报告将多量表测评结果整合为1个整体报告</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心理画像报告支持采用漫画形式，涵盖测评目的、健康说明、温馨建议、申明</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支持自动产生团体体检报告，团体体检报告包括背景与目标、风险预警、风险处置、温馨建议、申明环节</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支持个人心理画像的模板管理</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支持团体报告的模板管理</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系统支持心理画像的公共因子设定</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系统支持团体报告的公共因子设定</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支持通过测评方案管理设定该方案包含的量表</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支持通过测评方案管理设定该方案的预警规则</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支持通过测评方案管理设定体检完成后是否允许个人查看报告</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测评支持知情同意书的展示及自定义编辑</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具备受测单位协作系统，体检中心制定体检方案，并授权给受测单位协作系统，受测单位可通过协作系统选择被授权的方案，自行导入名单、生成二维码、查看报告</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量表总数不少于150个</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支持测评时根据需要展示知情同意书及干预跟进知情同意书；</w:t>
            </w:r>
          </w:p>
        </w:tc>
      </w:tr>
      <w:tr w:rsidR="00541CE1">
        <w:trPr>
          <w:trHeight w:val="1504"/>
        </w:trPr>
        <w:tc>
          <w:tcPr>
            <w:tcW w:w="1023" w:type="dxa"/>
            <w:vAlign w:val="center"/>
          </w:tcPr>
          <w:p w:rsidR="00541CE1" w:rsidRDefault="00ED474D" w:rsidP="00E7578B">
            <w:pPr>
              <w:pStyle w:val="2TimesNewRoman5020"/>
              <w:framePr w:hSpace="0" w:wrap="auto" w:vAnchor="margin" w:hAnchor="text" w:xAlign="left" w:yAlign="inline"/>
              <w:suppressOverlap w:val="0"/>
              <w:rPr>
                <w:rStyle w:val="10"/>
                <w:rFonts w:ascii="楷体" w:hAnsi="楷体"/>
                <w:sz w:val="20"/>
                <w:szCs w:val="20"/>
              </w:rPr>
            </w:pPr>
            <w:r>
              <w:rPr>
                <w:rStyle w:val="10"/>
                <w:rFonts w:ascii="楷体" w:hAnsi="楷体" w:hint="eastAsia"/>
                <w:sz w:val="20"/>
                <w:szCs w:val="20"/>
              </w:rPr>
              <w:t>5</w:t>
            </w:r>
          </w:p>
        </w:tc>
        <w:tc>
          <w:tcPr>
            <w:tcW w:w="1915" w:type="dxa"/>
            <w:vAlign w:val="center"/>
          </w:tcPr>
          <w:p w:rsidR="00541CE1" w:rsidRDefault="00ED474D" w:rsidP="00E7578B">
            <w:pPr>
              <w:pStyle w:val="2TimesNewRoman5020"/>
              <w:framePr w:hSpace="0" w:wrap="auto" w:vAnchor="margin" w:hAnchor="text" w:xAlign="left" w:yAlign="inline"/>
              <w:suppressOverlap w:val="0"/>
              <w:rPr>
                <w:rStyle w:val="10"/>
                <w:rFonts w:ascii="楷体" w:hAnsi="楷体"/>
                <w:b w:val="0"/>
                <w:bCs w:val="0"/>
                <w:sz w:val="20"/>
                <w:szCs w:val="20"/>
              </w:rPr>
            </w:pPr>
            <w:r>
              <w:rPr>
                <w:rStyle w:val="10"/>
                <w:rFonts w:ascii="楷体" w:hAnsi="楷体" w:hint="eastAsia"/>
                <w:sz w:val="20"/>
                <w:szCs w:val="20"/>
              </w:rPr>
              <w:t>人才培训与管理</w:t>
            </w:r>
          </w:p>
          <w:p w:rsidR="00541CE1" w:rsidRDefault="00ED474D" w:rsidP="00E7578B">
            <w:pPr>
              <w:pStyle w:val="2TimesNewRoman5020"/>
              <w:framePr w:hSpace="0" w:wrap="auto" w:vAnchor="margin" w:hAnchor="text" w:xAlign="left" w:yAlign="inline"/>
              <w:suppressOverlap w:val="0"/>
            </w:pPr>
            <w:r>
              <w:rPr>
                <w:rStyle w:val="10"/>
                <w:rFonts w:ascii="楷体" w:hAnsi="楷体" w:hint="eastAsia"/>
                <w:sz w:val="20"/>
                <w:szCs w:val="20"/>
              </w:rPr>
              <w:t>系统</w:t>
            </w:r>
          </w:p>
        </w:tc>
        <w:tc>
          <w:tcPr>
            <w:tcW w:w="7629" w:type="dxa"/>
          </w:tcPr>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支持心理专业人员注册认证成为专业人才或志愿者，注册成功后可进行课程、培训班的报名学习，以及相关资质的考试认证。</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支持社会心理服务机构注册认证，机构认证成功后可进行培训课程的创建管理。</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人才、机构注册时可通过手机、邮箱、微信等形式进行注册；通过微信注册、登录后可自动绑定微信号，用于快速登录及系统通知。</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专业人才、志愿者、机构认证时支持上传相关资质证明材料以便后台审核，审核支持设置永久资质或是年审资质。</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支持课程管理，可单独上下架、置顶课程；允许认证成功的机构上传管理本机构课程。</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课程包含多个课时管理，每个课时可分别设置讲师信息、内容介绍及学时。</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lastRenderedPageBreak/>
              <w:t>课时类型分为直播课、视频课、语音课、图文课、考试；直播课支持使用腾讯直播和腾讯会议直播两种直播形式；视频、语音课支持本地上传和外部链接两种形式。</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课程及每节课时均支持通过后台上传课件，并允许学员进行下载。</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课程支持自定义题库管理，题目类型包含单选、复选、数值、文本等形式，可对每道题目单独设置权重；课程学习后支持根据权重随机出题考试，检查学员学习情况。</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后台支持题库管理模块，题库可以按课程、类型搜索，支持题库导出、导入功能。</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后台支持讲师管理模块，可编辑管理讲师职称和简介信息。</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支持培训班的管理创建，培训班可以包含多个课程的学习，可直接从已有课程中进行添加。</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培训班支持通过报名审核、证书验证、考试验证等形式作为报名学习的前置条件，只有符合条件的学员才能报名学习相关课程。</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培训班支持创建多个批次，每批次学员为同步开始同步结束，并且可单独管理每个批次的学员信息和学习情况；支持学员名单的导入、导出。</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学员完成课程学习后支持学习记录统计，查看学员学习情况；针对可重复学习的课程可进行重学。</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后台支持资格考试模块，可建立开放式资格考试、封闭式资格考试、培训班报名考试；考试支持随机出题或单独建题，考试通过后可发放指定证书，证书支持下载。</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首页支持培训班或独立课程的展示，便于学员报名、学习。</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支持注册的专业人才、志愿者管理自己的基本信息、资质证书；查看学习进度，开具资质证明。</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支持课程试看和学习进度控制；开启进度控制后学员不可跳跃播放、图文将定时加载。</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支持认证成功的人才、机构在首页进行资质展示；同时也可对人才、机构进行资质查询，查看详细信息。</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支持后台发布消息公告，并在首页进行展示。</w:t>
            </w:r>
          </w:p>
        </w:tc>
      </w:tr>
      <w:tr w:rsidR="00541CE1">
        <w:trPr>
          <w:trHeight w:val="1265"/>
        </w:trPr>
        <w:tc>
          <w:tcPr>
            <w:tcW w:w="1023" w:type="dxa"/>
            <w:vAlign w:val="center"/>
          </w:tcPr>
          <w:p w:rsidR="00541CE1" w:rsidRDefault="00ED474D" w:rsidP="00E7578B">
            <w:pPr>
              <w:pStyle w:val="2TimesNewRoman5020"/>
              <w:framePr w:hSpace="0" w:wrap="auto" w:vAnchor="margin" w:hAnchor="text" w:xAlign="left" w:yAlign="inline"/>
              <w:suppressOverlap w:val="0"/>
              <w:rPr>
                <w:rStyle w:val="10"/>
                <w:rFonts w:ascii="楷体" w:hAnsi="楷体"/>
                <w:b w:val="0"/>
                <w:bCs w:val="0"/>
                <w:sz w:val="20"/>
                <w:szCs w:val="20"/>
              </w:rPr>
            </w:pPr>
            <w:r>
              <w:rPr>
                <w:rStyle w:val="10"/>
                <w:rFonts w:ascii="楷体" w:hAnsi="楷体" w:hint="eastAsia"/>
                <w:sz w:val="20"/>
                <w:szCs w:val="20"/>
              </w:rPr>
              <w:lastRenderedPageBreak/>
              <w:t>6</w:t>
            </w:r>
          </w:p>
        </w:tc>
        <w:tc>
          <w:tcPr>
            <w:tcW w:w="1915" w:type="dxa"/>
            <w:vAlign w:val="center"/>
          </w:tcPr>
          <w:p w:rsidR="00541CE1" w:rsidRDefault="00ED474D">
            <w:pPr>
              <w:spacing w:line="360" w:lineRule="auto"/>
              <w:jc w:val="center"/>
              <w:rPr>
                <w:rStyle w:val="10"/>
                <w:rFonts w:ascii="楷体" w:eastAsia="楷体" w:hAnsi="楷体" w:cs="楷体"/>
                <w:b/>
                <w:bCs/>
                <w:sz w:val="20"/>
                <w:szCs w:val="20"/>
              </w:rPr>
            </w:pPr>
            <w:r>
              <w:rPr>
                <w:rStyle w:val="10"/>
                <w:rFonts w:ascii="楷体" w:eastAsia="楷体" w:hAnsi="楷体" w:cs="楷体" w:hint="eastAsia"/>
                <w:b/>
                <w:bCs/>
                <w:sz w:val="20"/>
                <w:szCs w:val="20"/>
              </w:rPr>
              <w:t>医教一体化平台</w:t>
            </w:r>
          </w:p>
        </w:tc>
        <w:tc>
          <w:tcPr>
            <w:tcW w:w="7629" w:type="dxa"/>
          </w:tcPr>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系统分为教体局分系统、学校分系统、家长分系统、医院分系统</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支持学校心理档案到医院的信息流转</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支持学生就医信息到学校系统的流转</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为400所学校提供标准化的学校分系统</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学校分系统需提供评估、档案管理、转介、健康教育等功能</w:t>
            </w:r>
          </w:p>
          <w:p w:rsidR="00541CE1" w:rsidRDefault="00ED474D">
            <w:pPr>
              <w:numPr>
                <w:ilvl w:val="0"/>
                <w:numId w:val="1"/>
              </w:numPr>
              <w:spacing w:line="360" w:lineRule="auto"/>
              <w:rPr>
                <w:rFonts w:ascii="楷体" w:eastAsia="楷体" w:hAnsi="楷体" w:cs="楷体"/>
                <w:sz w:val="20"/>
                <w:szCs w:val="20"/>
              </w:rPr>
            </w:pPr>
            <w:r>
              <w:rPr>
                <w:rFonts w:ascii="楷体" w:eastAsia="楷体" w:hAnsi="楷体" w:cs="楷体" w:hint="eastAsia"/>
                <w:sz w:val="20"/>
                <w:szCs w:val="20"/>
              </w:rPr>
              <w:t>实现统计分析的excel动态生成与导出</w:t>
            </w:r>
          </w:p>
          <w:p w:rsidR="00541CE1" w:rsidRDefault="00541CE1"/>
        </w:tc>
      </w:tr>
      <w:tr w:rsidR="00E7578B">
        <w:trPr>
          <w:trHeight w:val="1265"/>
        </w:trPr>
        <w:tc>
          <w:tcPr>
            <w:tcW w:w="1023" w:type="dxa"/>
            <w:vAlign w:val="center"/>
          </w:tcPr>
          <w:p w:rsidR="00E7578B" w:rsidRPr="00E7578B" w:rsidRDefault="00E7578B" w:rsidP="00E7578B">
            <w:pPr>
              <w:pStyle w:val="2TimesNewRoman5020"/>
              <w:framePr w:hSpace="0" w:wrap="auto" w:vAnchor="margin" w:hAnchor="text" w:xAlign="left" w:yAlign="inline"/>
              <w:suppressOverlap w:val="0"/>
              <w:rPr>
                <w:rStyle w:val="10"/>
                <w:rFonts w:ascii="楷体" w:hAnsi="楷体" w:hint="eastAsia"/>
                <w:b w:val="0"/>
                <w:bCs w:val="0"/>
              </w:rPr>
            </w:pPr>
            <w:r w:rsidRPr="00E7578B">
              <w:rPr>
                <w:rStyle w:val="10"/>
                <w:rFonts w:ascii="楷体" w:hAnsi="楷体" w:hint="eastAsia"/>
                <w:b w:val="0"/>
                <w:bCs w:val="0"/>
              </w:rPr>
              <w:t>总价</w:t>
            </w:r>
          </w:p>
        </w:tc>
        <w:tc>
          <w:tcPr>
            <w:tcW w:w="1915" w:type="dxa"/>
            <w:vAlign w:val="center"/>
          </w:tcPr>
          <w:p w:rsidR="00E7578B" w:rsidRDefault="00E7578B">
            <w:pPr>
              <w:spacing w:line="360" w:lineRule="auto"/>
              <w:jc w:val="center"/>
              <w:rPr>
                <w:rStyle w:val="10"/>
                <w:rFonts w:ascii="楷体" w:eastAsia="楷体" w:hAnsi="楷体" w:cs="楷体" w:hint="eastAsia"/>
                <w:b/>
                <w:bCs/>
                <w:sz w:val="20"/>
                <w:szCs w:val="20"/>
              </w:rPr>
            </w:pPr>
          </w:p>
        </w:tc>
        <w:tc>
          <w:tcPr>
            <w:tcW w:w="7629" w:type="dxa"/>
          </w:tcPr>
          <w:p w:rsidR="00E7578B" w:rsidRDefault="00E7578B" w:rsidP="00E7578B">
            <w:pPr>
              <w:spacing w:line="360" w:lineRule="auto"/>
              <w:rPr>
                <w:rFonts w:ascii="楷体" w:eastAsia="楷体" w:hAnsi="楷体" w:cs="楷体" w:hint="eastAsia"/>
                <w:sz w:val="20"/>
                <w:szCs w:val="20"/>
              </w:rPr>
            </w:pPr>
            <w:bookmarkStart w:id="0" w:name="_GoBack"/>
            <w:bookmarkEnd w:id="0"/>
          </w:p>
        </w:tc>
      </w:tr>
    </w:tbl>
    <w:p w:rsidR="00541CE1" w:rsidRDefault="00541CE1">
      <w:pPr>
        <w:spacing w:line="360" w:lineRule="auto"/>
        <w:jc w:val="both"/>
        <w:rPr>
          <w:rFonts w:ascii="楷体" w:eastAsia="楷体" w:hAnsi="楷体" w:cs="楷体"/>
          <w:sz w:val="21"/>
          <w:szCs w:val="21"/>
        </w:rPr>
      </w:pPr>
    </w:p>
    <w:p w:rsidR="00541CE1" w:rsidRDefault="00ED474D">
      <w:pPr>
        <w:spacing w:line="360" w:lineRule="auto"/>
        <w:jc w:val="center"/>
        <w:rPr>
          <w:color w:val="FF0000"/>
          <w:sz w:val="36"/>
          <w:szCs w:val="36"/>
        </w:rPr>
      </w:pPr>
      <w:r>
        <w:rPr>
          <w:rFonts w:hint="eastAsia"/>
          <w:color w:val="FF0000"/>
          <w:sz w:val="36"/>
          <w:szCs w:val="36"/>
        </w:rPr>
        <w:t>未按要求提供技术方案和授权证明材料的视为无效。</w:t>
      </w:r>
    </w:p>
    <w:p w:rsidR="00541CE1" w:rsidRDefault="00541CE1">
      <w:pPr>
        <w:spacing w:line="360" w:lineRule="auto"/>
        <w:jc w:val="both"/>
      </w:pPr>
    </w:p>
    <w:sectPr w:rsidR="00541C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5C6" w:rsidRDefault="004025C6"/>
  </w:endnote>
  <w:endnote w:type="continuationSeparator" w:id="0">
    <w:p w:rsidR="004025C6" w:rsidRDefault="004025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0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5C6" w:rsidRDefault="004025C6"/>
  </w:footnote>
  <w:footnote w:type="continuationSeparator" w:id="0">
    <w:p w:rsidR="004025C6" w:rsidRDefault="004025C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1B2A7"/>
    <w:multiLevelType w:val="singleLevel"/>
    <w:tmpl w:val="1D31B2A7"/>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lhOGY5MTFlM2FmZTI4YmZhMjBiZDdhZGYwZTYyOGIifQ=="/>
  </w:docVars>
  <w:rsids>
    <w:rsidRoot w:val="000359D4"/>
    <w:rsid w:val="000359D4"/>
    <w:rsid w:val="00062847"/>
    <w:rsid w:val="004025C6"/>
    <w:rsid w:val="00541CE1"/>
    <w:rsid w:val="00791364"/>
    <w:rsid w:val="00E7578B"/>
    <w:rsid w:val="00ED474D"/>
    <w:rsid w:val="01016F4B"/>
    <w:rsid w:val="023D4F03"/>
    <w:rsid w:val="044436B0"/>
    <w:rsid w:val="057D26BE"/>
    <w:rsid w:val="05AC2ED9"/>
    <w:rsid w:val="06747963"/>
    <w:rsid w:val="06781F50"/>
    <w:rsid w:val="07C005B4"/>
    <w:rsid w:val="07E84DF9"/>
    <w:rsid w:val="0A7C3BA6"/>
    <w:rsid w:val="0ACC78BC"/>
    <w:rsid w:val="0EA930C2"/>
    <w:rsid w:val="10091860"/>
    <w:rsid w:val="13B97961"/>
    <w:rsid w:val="144B02CF"/>
    <w:rsid w:val="145655BB"/>
    <w:rsid w:val="14585930"/>
    <w:rsid w:val="146246DC"/>
    <w:rsid w:val="15174E59"/>
    <w:rsid w:val="15233F17"/>
    <w:rsid w:val="17E6056B"/>
    <w:rsid w:val="19477ACF"/>
    <w:rsid w:val="1A785126"/>
    <w:rsid w:val="1B613E07"/>
    <w:rsid w:val="1D3833BB"/>
    <w:rsid w:val="1DEA7A59"/>
    <w:rsid w:val="1E2764F0"/>
    <w:rsid w:val="20B05232"/>
    <w:rsid w:val="23804A1C"/>
    <w:rsid w:val="25CE3729"/>
    <w:rsid w:val="27474568"/>
    <w:rsid w:val="27CB55C0"/>
    <w:rsid w:val="299E2EA4"/>
    <w:rsid w:val="2BB529DB"/>
    <w:rsid w:val="2F023000"/>
    <w:rsid w:val="2FF229CD"/>
    <w:rsid w:val="31446940"/>
    <w:rsid w:val="33F9150F"/>
    <w:rsid w:val="39E0609E"/>
    <w:rsid w:val="3C48559E"/>
    <w:rsid w:val="3C9377CF"/>
    <w:rsid w:val="3C9F72CE"/>
    <w:rsid w:val="3DBD5252"/>
    <w:rsid w:val="3F34264D"/>
    <w:rsid w:val="3F5D46B2"/>
    <w:rsid w:val="40336930"/>
    <w:rsid w:val="41AC7E02"/>
    <w:rsid w:val="470318B1"/>
    <w:rsid w:val="47A94C8A"/>
    <w:rsid w:val="48934632"/>
    <w:rsid w:val="49AF43D0"/>
    <w:rsid w:val="4A1C30DA"/>
    <w:rsid w:val="4B091668"/>
    <w:rsid w:val="4B881BC3"/>
    <w:rsid w:val="4BF6675B"/>
    <w:rsid w:val="4CBC7DDD"/>
    <w:rsid w:val="4D2D083B"/>
    <w:rsid w:val="4D9C5907"/>
    <w:rsid w:val="53513D0D"/>
    <w:rsid w:val="53AA5F50"/>
    <w:rsid w:val="53E55B94"/>
    <w:rsid w:val="54BC124D"/>
    <w:rsid w:val="565A7567"/>
    <w:rsid w:val="5AB25138"/>
    <w:rsid w:val="5B157754"/>
    <w:rsid w:val="5B8C71BE"/>
    <w:rsid w:val="5BF76F59"/>
    <w:rsid w:val="5CAB0AAD"/>
    <w:rsid w:val="60090BF0"/>
    <w:rsid w:val="632C24AD"/>
    <w:rsid w:val="63772198"/>
    <w:rsid w:val="66033E11"/>
    <w:rsid w:val="670B47F3"/>
    <w:rsid w:val="684D0886"/>
    <w:rsid w:val="6AB40E0D"/>
    <w:rsid w:val="6D73172C"/>
    <w:rsid w:val="6F3054D6"/>
    <w:rsid w:val="6F98090C"/>
    <w:rsid w:val="71D13F54"/>
    <w:rsid w:val="73482309"/>
    <w:rsid w:val="74B26E4E"/>
    <w:rsid w:val="77BA0AA6"/>
    <w:rsid w:val="79AD325E"/>
    <w:rsid w:val="7A0408DC"/>
    <w:rsid w:val="7BB01070"/>
    <w:rsid w:val="7C1B0CBD"/>
    <w:rsid w:val="7D6A1B65"/>
    <w:rsid w:val="7DC61C44"/>
    <w:rsid w:val="7EDA7D61"/>
    <w:rsid w:val="7EFE152C"/>
    <w:rsid w:val="7F375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9ED009"/>
  <w15:docId w15:val="{06B6AB6D-0946-404D-983C-6DD3CF1E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uiPriority="1" w:qFormat="1"/>
    <w:lsdException w:name="heading 1" w:uiPriority="7"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7"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1"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autoRedefine/>
    <w:uiPriority w:val="1"/>
    <w:qFormat/>
    <w:rPr>
      <w:rFonts w:ascii="Tahoma" w:eastAsia="微软雅黑" w:hAnsi="Tahoma"/>
      <w:sz w:val="22"/>
      <w:szCs w:val="22"/>
    </w:rPr>
  </w:style>
  <w:style w:type="paragraph" w:styleId="1">
    <w:name w:val="heading 1"/>
    <w:basedOn w:val="a"/>
    <w:next w:val="a"/>
    <w:link w:val="10"/>
    <w:autoRedefine/>
    <w:uiPriority w:val="7"/>
    <w:qFormat/>
    <w:pPr>
      <w:jc w:val="both"/>
      <w:outlineLvl w:val="0"/>
    </w:pPr>
    <w:rPr>
      <w:rFonts w:ascii="Calibri" w:hAnsi="Calibri"/>
      <w:sz w:val="28"/>
      <w:szCs w:val="28"/>
    </w:rPr>
  </w:style>
  <w:style w:type="paragraph" w:styleId="2">
    <w:name w:val="heading 2"/>
    <w:basedOn w:val="a"/>
    <w:next w:val="a"/>
    <w:autoRedefine/>
    <w:uiPriority w:val="8"/>
    <w:qFormat/>
    <w:pPr>
      <w:jc w:val="both"/>
      <w:outlineLvl w:val="1"/>
    </w:pPr>
    <w:rPr>
      <w:rFonts w:ascii="Calibri" w:hAnsi="Calibri"/>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autoRedefine/>
    <w:uiPriority w:val="1"/>
    <w:qFormat/>
    <w:rPr>
      <w:sz w:val="21"/>
      <w:szCs w:val="21"/>
    </w:rPr>
  </w:style>
  <w:style w:type="paragraph" w:styleId="a4">
    <w:name w:val="footer"/>
    <w:basedOn w:val="a"/>
    <w:autoRedefine/>
    <w:qFormat/>
    <w:pPr>
      <w:tabs>
        <w:tab w:val="center" w:pos="4153"/>
        <w:tab w:val="right" w:pos="8306"/>
      </w:tabs>
      <w:snapToGrid w:val="0"/>
    </w:pPr>
    <w:rPr>
      <w:sz w:val="18"/>
    </w:rPr>
  </w:style>
  <w:style w:type="paragraph" w:styleId="a5">
    <w:name w:val="header"/>
    <w:basedOn w:val="a"/>
    <w:next w:val="a"/>
    <w:autoRedefine/>
    <w:unhideWhenUsed/>
    <w:qFormat/>
    <w:pPr>
      <w:tabs>
        <w:tab w:val="center" w:pos="4153"/>
        <w:tab w:val="right" w:pos="8306"/>
      </w:tabs>
      <w:jc w:val="both"/>
    </w:pPr>
    <w:rPr>
      <w:sz w:val="18"/>
      <w:szCs w:val="18"/>
    </w:rPr>
  </w:style>
  <w:style w:type="table" w:styleId="a6">
    <w:name w:val="Table Grid"/>
    <w:basedOn w:val="a2"/>
    <w:autoRedefine/>
    <w:uiPriority w:val="37"/>
    <w:qFormat/>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Quote"/>
    <w:basedOn w:val="a"/>
    <w:next w:val="a"/>
    <w:autoRedefine/>
    <w:uiPriority w:val="21"/>
    <w:qFormat/>
    <w:pPr>
      <w:ind w:left="864" w:right="864"/>
      <w:jc w:val="center"/>
    </w:pPr>
    <w:rPr>
      <w:rFonts w:ascii="Calibri" w:hAnsi="Calibri"/>
      <w:i/>
      <w:color w:val="404040"/>
      <w:sz w:val="21"/>
      <w:szCs w:val="21"/>
    </w:rPr>
  </w:style>
  <w:style w:type="paragraph" w:customStyle="1" w:styleId="2TimesNewRoman5020">
    <w:name w:val="样式 标题 2 + Times New Roman 四号 非加粗 段前: 5 磅 段后: 0 磅 行距: 固定值 20..."/>
    <w:basedOn w:val="2"/>
    <w:next w:val="a"/>
    <w:autoRedefine/>
    <w:qFormat/>
    <w:rsid w:val="00E7578B"/>
    <w:pPr>
      <w:framePr w:hSpace="180" w:wrap="around" w:vAnchor="text" w:hAnchor="page" w:x="781" w:y="295"/>
      <w:spacing w:before="100" w:line="400" w:lineRule="exact"/>
      <w:suppressOverlap/>
      <w:jc w:val="center"/>
      <w:outlineLvl w:val="9"/>
    </w:pPr>
    <w:rPr>
      <w:rFonts w:ascii="楷体" w:eastAsia="楷体" w:hAnsi="楷体" w:cs="楷体"/>
      <w:b/>
      <w:bCs/>
      <w:sz w:val="28"/>
      <w:szCs w:val="20"/>
    </w:rPr>
  </w:style>
  <w:style w:type="character" w:customStyle="1" w:styleId="10">
    <w:name w:val="标题 1 字符"/>
    <w:link w:val="1"/>
    <w:qFormat/>
    <w:rPr>
      <w:rFonts w:ascii="Calibri" w:hAnsi="Calibri"/>
      <w:sz w:val="28"/>
      <w:szCs w:val="28"/>
    </w:rPr>
  </w:style>
  <w:style w:type="paragraph" w:customStyle="1" w:styleId="-1">
    <w:name w:val="正文-公1"/>
    <w:basedOn w:val="NewNewNewNewNewNewNewNewNewNewNewNewNewNewNewNewNewNewNewNewNewNewNewNewNewNewNewNewNewNewNewNewNewNewNewNewNewNewNewNewNewNewNewNewNewNewNewNewNewNewNewNewNewNewNewNewNewNewNewNewNewNewNe"/>
    <w:next w:val="a5"/>
    <w:autoRedefine/>
    <w:uiPriority w:val="99"/>
    <w:qFormat/>
    <w:pPr>
      <w:ind w:firstLineChars="200" w:firstLine="200"/>
    </w:pPr>
    <w:rPr>
      <w:rFonts w:ascii="Calibri" w:hAnsi="Calibri"/>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next w:val="-1"/>
    <w:autoRedefine/>
    <w:qFormat/>
    <w:pPr>
      <w:widowControl w:val="0"/>
      <w:jc w:val="both"/>
    </w:pPr>
    <w:rPr>
      <w:rFonts w:ascii="Times New Roman" w:eastAsia="宋体" w:hAnsi="Times New Roman" w:cs="Times New Roman"/>
      <w:kern w:val="2"/>
      <w:sz w:val="21"/>
    </w:rPr>
  </w:style>
  <w:style w:type="paragraph" w:customStyle="1" w:styleId="Default">
    <w:name w:val="Default"/>
    <w:autoRedefine/>
    <w:qFormat/>
    <w:pPr>
      <w:widowControl w:val="0"/>
      <w:autoSpaceDE w:val="0"/>
      <w:autoSpaceDN w:val="0"/>
      <w:adjustRightInd w:val="0"/>
    </w:pPr>
    <w:rPr>
      <w:rFonts w:ascii="宋体" w:eastAsia="宋体" w:hAnsi="Times New Roman" w:cs="宋体"/>
      <w:color w:val="000000"/>
      <w:sz w:val="24"/>
      <w:szCs w:val="24"/>
    </w:rPr>
  </w:style>
  <w:style w:type="paragraph" w:styleId="a8">
    <w:name w:val="List Paragraph"/>
    <w:basedOn w:val="a"/>
    <w:autoRedefine/>
    <w:qFormat/>
    <w:pPr>
      <w:ind w:firstLineChars="200" w:firstLine="420"/>
    </w:pPr>
    <w:rPr>
      <w:rFonts w:ascii="Calibri" w:hAnsi="Calibr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511</Words>
  <Characters>2915</Characters>
  <Application>Microsoft Office Word</Application>
  <DocSecurity>0</DocSecurity>
  <Lines>24</Lines>
  <Paragraphs>6</Paragraphs>
  <ScaleCrop>false</ScaleCrop>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shendu</cp:lastModifiedBy>
  <cp:revision>2</cp:revision>
  <dcterms:created xsi:type="dcterms:W3CDTF">2024-04-23T08:28:00Z</dcterms:created>
  <dcterms:modified xsi:type="dcterms:W3CDTF">2024-04-23T08:28:00Z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9ACC81E3E24D42F3B3421B79E37CAA11</vt:lpwstr>
  </property>
</Properties>
</file>